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pPr>
      <w:r>
        <w:rPr>
          <w:rFonts w:hint="eastAsia"/>
        </w:rPr>
        <w:t>基于</w:t>
      </w:r>
      <w:r>
        <w:rPr>
          <w:rFonts w:hint="default" w:ascii="Times New Roman" w:hAnsi="Times New Roman" w:cs="Times New Roman"/>
        </w:rPr>
        <w:t>RTO1024</w:t>
      </w:r>
      <w:r>
        <w:rPr>
          <w:rFonts w:hint="eastAsia"/>
        </w:rPr>
        <w:t>连续存储波形数据的实现</w:t>
      </w:r>
    </w:p>
    <w:p>
      <w:pPr>
        <w:jc w:val="center"/>
        <w:rPr>
          <w:rFonts w:hint="eastAsia" w:eastAsiaTheme="minorEastAsia"/>
          <w:sz w:val="24"/>
          <w:szCs w:val="32"/>
          <w:lang w:eastAsia="zh-CN"/>
        </w:rPr>
      </w:pPr>
      <w:r>
        <w:rPr>
          <w:rFonts w:hint="eastAsia" w:ascii="楷体" w:hAnsi="楷体" w:eastAsia="楷体" w:cs="楷体"/>
          <w:b w:val="0"/>
          <w:bCs w:val="0"/>
          <w:sz w:val="20"/>
          <w:szCs w:val="20"/>
          <w:lang w:val="en-US" w:eastAsia="zh-CN"/>
        </w:rPr>
        <w:t>柴萌萌</w:t>
      </w:r>
    </w:p>
    <w:p>
      <w:pPr>
        <w:jc w:val="center"/>
        <w:rPr>
          <w:rFonts w:ascii="华文细黑" w:hAnsi="华文细黑" w:eastAsia="华文细黑" w:cs="Arial"/>
          <w:b/>
          <w:szCs w:val="21"/>
        </w:rPr>
      </w:pPr>
      <w:r>
        <w:rPr>
          <w:rFonts w:hint="eastAsia" w:ascii="楷体" w:hAnsi="楷体" w:eastAsia="楷体" w:cs="楷体"/>
          <w:b w:val="0"/>
          <w:bCs w:val="0"/>
          <w:sz w:val="20"/>
          <w:szCs w:val="20"/>
          <w:lang w:val="en-US" w:eastAsia="zh-CN"/>
        </w:rPr>
        <w:t>太原理工大学 物理与光电工程学院</w:t>
      </w:r>
    </w:p>
    <w:p>
      <w:pPr>
        <w:rPr>
          <w:rFonts w:ascii="华文细黑" w:hAnsi="华文细黑" w:eastAsia="华文细黑"/>
          <w:b/>
          <w:szCs w:val="21"/>
        </w:rPr>
      </w:pPr>
      <w:r>
        <w:rPr>
          <w:rFonts w:ascii="华文细黑" w:hAnsi="华文细黑" w:eastAsia="华文细黑"/>
          <w:b/>
          <w:szCs w:val="21"/>
        </w:rPr>
        <w:t>1 引言</w:t>
      </w:r>
    </w:p>
    <w:p>
      <w:pPr>
        <w:rPr>
          <w:rFonts w:ascii="华文细黑" w:hAnsi="华文细黑" w:eastAsia="华文细黑" w:cs="Arial"/>
          <w:szCs w:val="21"/>
        </w:rPr>
      </w:pPr>
      <w:r>
        <w:rPr>
          <w:rFonts w:hint="eastAsia" w:ascii="华文细黑" w:hAnsi="华文细黑" w:eastAsia="华文细黑" w:cs="Arial"/>
          <w:szCs w:val="21"/>
        </w:rPr>
        <w:t>示波器是一种用途十分广泛的电子测量仪器，在生活中电子电路的测量与检测，在工业生产中电子仪器的性能检验与测试，在物理教学实验中示波器都被大量使用。简而言之只要可以变为等效电效应的物理过程都可以通过示波器进行观测，把肉眼看不到的电信号变换成看得见的图像，通过对图像的分析与判断，来对电信号进行相关的操作最终达到人们的需求。</w:t>
      </w:r>
    </w:p>
    <w:p>
      <w:pPr>
        <w:rPr>
          <w:rFonts w:ascii="华文细黑" w:hAnsi="华文细黑" w:eastAsia="华文细黑" w:cs="Arial"/>
          <w:szCs w:val="21"/>
        </w:rPr>
      </w:pPr>
      <w:r>
        <w:rPr>
          <w:rFonts w:hint="eastAsia" w:ascii="华文细黑" w:hAnsi="华文细黑" w:eastAsia="华文细黑" w:cs="Arial"/>
          <w:szCs w:val="21"/>
        </w:rPr>
        <w:t>示波器可以测量周期性物理过程的电效应信号，可以对信号进行电压的测量、时间的测量、相位的测量、频率的测量。在长时间观察、海量的测量数据下，数据的连续存储显得尤其重要。通过连续的数据存储人</w:t>
      </w:r>
      <w:r>
        <w:rPr>
          <w:rFonts w:hint="eastAsia" w:ascii="华文细黑" w:hAnsi="华文细黑" w:eastAsia="华文细黑" w:cs="Arial"/>
          <w:color w:val="0D0D0D" w:themeColor="text1" w:themeTint="F2"/>
          <w:szCs w:val="21"/>
          <w14:textFill>
            <w14:solidFill>
              <w14:schemeClr w14:val="tx1">
                <w14:lumMod w14:val="95000"/>
                <w14:lumOff w14:val="5000"/>
              </w14:schemeClr>
            </w14:solidFill>
          </w14:textFill>
        </w:rPr>
        <w:t>们无需实时守在示波器前、手动进行各项数据的采集工作，而可以通过提前预设置，根据需要观察或分析的波形特征，对示波器进行相关要求设置，使其实现自动、连续的采集所需要的数据，为测试者的测试提供了更方便、快捷的存储方式，</w:t>
      </w:r>
      <w:r>
        <w:rPr>
          <w:rFonts w:hint="eastAsia" w:ascii="华文细黑" w:hAnsi="华文细黑" w:eastAsia="华文细黑" w:cs="Arial"/>
          <w:szCs w:val="21"/>
        </w:rPr>
        <w:t>更好的在后续处理过程中分析信号所表达出来的信息，对电路或者仪器的操作提供精确的参考信息。</w:t>
      </w:r>
    </w:p>
    <w:p>
      <w:pPr>
        <w:rPr>
          <w:rFonts w:hint="eastAsia" w:ascii="华文细黑" w:hAnsi="华文细黑" w:eastAsia="华文细黑" w:cs="Arial"/>
          <w:szCs w:val="21"/>
        </w:rPr>
      </w:pPr>
      <w:r>
        <w:rPr>
          <w:rFonts w:hint="eastAsia" w:ascii="华文细黑" w:hAnsi="华文细黑" w:eastAsia="华文细黑" w:cs="Arial"/>
          <w:szCs w:val="21"/>
        </w:rPr>
        <w:t>R&amp;S RTO具有极佳的信号保真度，较高的波形捕获率以及实时数字触发系统，数字示波器信号采集分两步：第一步，示波器会采集指定时长的测量信号，并存储这些样本信号；第二步，示波器会对这些样本信号进行处理，并显示波形。这时人们可以根据自己的需要来选择并存储自己所需要的波形数据，R&amp;S RT</w:t>
      </w:r>
      <w:r>
        <w:rPr>
          <w:rFonts w:ascii="华文细黑" w:hAnsi="华文细黑" w:eastAsia="华文细黑" w:cs="Arial"/>
          <w:szCs w:val="21"/>
        </w:rPr>
        <w:t>O</w:t>
      </w:r>
      <w:r>
        <w:rPr>
          <w:rFonts w:hint="eastAsia" w:ascii="华文细黑" w:hAnsi="华文细黑" w:eastAsia="华文细黑" w:cs="Arial"/>
          <w:szCs w:val="21"/>
        </w:rPr>
        <w:t>能实现在短短几秒钟内完成大量波形的采集与存储。本文介绍了利用R&amp;S公司的RTO1024如何实现数据的连续存储及相关的操作过程。</w:t>
      </w:r>
    </w:p>
    <w:p>
      <w:pPr>
        <w:rPr>
          <w:rFonts w:ascii="华文细黑" w:hAnsi="华文细黑" w:eastAsia="华文细黑" w:cs="Arial"/>
          <w:szCs w:val="21"/>
        </w:rPr>
      </w:pPr>
      <w:r>
        <w:rPr>
          <w:rFonts w:ascii="华文细黑" w:hAnsi="华文细黑" w:eastAsia="华文细黑" w:cs="Arial"/>
          <w:b/>
          <w:szCs w:val="21"/>
        </w:rPr>
        <w:t>2 RTO1024简介</w:t>
      </w:r>
    </w:p>
    <w:p>
      <w:pPr>
        <w:ind w:left="1050" w:hanging="1050" w:hangingChars="500"/>
        <w:jc w:val="center"/>
        <w:rPr>
          <w:rFonts w:ascii="华文细黑" w:hAnsi="华文细黑" w:eastAsia="华文细黑" w:cs="Arial"/>
          <w:szCs w:val="21"/>
        </w:rPr>
      </w:pPr>
      <w:r>
        <w:rPr>
          <w:rFonts w:hint="eastAsia" w:ascii="华文细黑" w:hAnsi="华文细黑" w:eastAsia="华文细黑" w:cs="Arial"/>
          <w:szCs w:val="21"/>
        </w:rPr>
        <w:drawing>
          <wp:inline distT="0" distB="0" distL="0" distR="0">
            <wp:extent cx="4678680" cy="282638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82138" cy="2828590"/>
                    </a:xfrm>
                    <a:prstGeom prst="rect">
                      <a:avLst/>
                    </a:prstGeom>
                    <a:noFill/>
                    <a:ln>
                      <a:noFill/>
                    </a:ln>
                  </pic:spPr>
                </pic:pic>
              </a:graphicData>
            </a:graphic>
          </wp:inline>
        </w:drawing>
      </w:r>
    </w:p>
    <w:p>
      <w:pPr>
        <w:ind w:left="1050" w:hanging="1050" w:hangingChars="500"/>
        <w:jc w:val="center"/>
        <w:rPr>
          <w:rFonts w:ascii="华文细黑" w:hAnsi="华文细黑" w:eastAsia="华文细黑" w:cs="Arial"/>
          <w:szCs w:val="21"/>
        </w:rPr>
      </w:pPr>
      <w:r>
        <w:rPr>
          <w:rFonts w:hint="eastAsia" w:ascii="华文细黑" w:hAnsi="华文细黑" w:eastAsia="华文细黑" w:cs="Arial"/>
          <w:szCs w:val="21"/>
        </w:rPr>
        <w:t>图1</w:t>
      </w:r>
      <w:r>
        <w:rPr>
          <w:rFonts w:ascii="华文细黑" w:hAnsi="华文细黑" w:eastAsia="华文细黑" w:cs="Arial"/>
          <w:szCs w:val="21"/>
        </w:rPr>
        <w:t>.</w:t>
      </w:r>
      <w:r>
        <w:rPr>
          <w:rFonts w:hint="eastAsia" w:ascii="华文细黑" w:hAnsi="华文细黑" w:eastAsia="华文细黑" w:cs="Arial"/>
          <w:szCs w:val="21"/>
        </w:rPr>
        <w:t xml:space="preserve"> R&amp;S RTO</w:t>
      </w:r>
      <w:r>
        <w:rPr>
          <w:rFonts w:ascii="华文细黑" w:hAnsi="华文细黑" w:eastAsia="华文细黑" w:cs="Arial"/>
          <w:szCs w:val="21"/>
        </w:rPr>
        <w:t>1024</w:t>
      </w:r>
      <w:r>
        <w:rPr>
          <w:rFonts w:hint="eastAsia" w:ascii="华文细黑" w:hAnsi="华文细黑" w:eastAsia="华文细黑" w:cs="Arial"/>
          <w:szCs w:val="21"/>
        </w:rPr>
        <w:t>示波器的操作面板图</w:t>
      </w:r>
    </w:p>
    <w:p>
      <w:pPr>
        <w:rPr>
          <w:rFonts w:ascii="华文细黑" w:hAnsi="华文细黑" w:eastAsia="华文细黑" w:cs="Arial"/>
          <w:szCs w:val="21"/>
        </w:rPr>
      </w:pPr>
      <w:r>
        <w:rPr>
          <w:rFonts w:ascii="华文细黑" w:hAnsi="华文细黑" w:eastAsia="华文细黑" w:cs="Arial"/>
          <w:szCs w:val="21"/>
        </w:rPr>
        <w:t>图</w:t>
      </w:r>
      <w:r>
        <w:rPr>
          <w:rFonts w:hint="eastAsia" w:ascii="华文细黑" w:hAnsi="华文细黑" w:eastAsia="华文细黑" w:cs="Arial"/>
          <w:szCs w:val="21"/>
        </w:rPr>
        <w:t>1所示为R&amp;</w:t>
      </w:r>
      <w:r>
        <w:rPr>
          <w:rFonts w:ascii="华文细黑" w:hAnsi="华文细黑" w:eastAsia="华文细黑" w:cs="Arial"/>
          <w:szCs w:val="21"/>
        </w:rPr>
        <w:t xml:space="preserve">S </w:t>
      </w:r>
      <w:r>
        <w:rPr>
          <w:rFonts w:hint="eastAsia" w:ascii="华文细黑" w:hAnsi="华文细黑" w:eastAsia="华文细黑" w:cs="Arial"/>
          <w:szCs w:val="21"/>
        </w:rPr>
        <w:t>RTO1024示波器（2GH</w:t>
      </w:r>
      <w:r>
        <w:rPr>
          <w:rFonts w:ascii="华文细黑" w:hAnsi="华文细黑" w:eastAsia="华文细黑" w:cs="Arial"/>
          <w:szCs w:val="21"/>
        </w:rPr>
        <w:t>z</w:t>
      </w:r>
      <w:r>
        <w:rPr>
          <w:rFonts w:hint="eastAsia" w:ascii="华文细黑" w:hAnsi="华文细黑" w:eastAsia="华文细黑" w:cs="Arial"/>
          <w:szCs w:val="21"/>
        </w:rPr>
        <w:t>带宽 1</w:t>
      </w:r>
      <w:r>
        <w:rPr>
          <w:rFonts w:ascii="华文细黑" w:hAnsi="华文细黑" w:eastAsia="华文细黑" w:cs="Arial"/>
          <w:szCs w:val="21"/>
        </w:rPr>
        <w:t>0GSa/s</w:t>
      </w:r>
      <w:r>
        <w:rPr>
          <w:rFonts w:hint="eastAsia" w:ascii="华文细黑" w:hAnsi="华文细黑" w:eastAsia="华文细黑" w:cs="Arial"/>
          <w:szCs w:val="21"/>
        </w:rPr>
        <w:t>采样率）的操作面板，可分为10个区域，用序号标示在图中，分别为：1.触摸屏 2.设置控制</w:t>
      </w:r>
      <w:r>
        <w:rPr>
          <w:rFonts w:ascii="华文细黑" w:hAnsi="华文细黑" w:eastAsia="华文细黑" w:cs="Arial"/>
          <w:szCs w:val="21"/>
        </w:rPr>
        <w:t xml:space="preserve"> 3.</w:t>
      </w:r>
      <w:r>
        <w:rPr>
          <w:rFonts w:hint="eastAsia" w:ascii="华文细黑" w:hAnsi="华文细黑" w:eastAsia="华文细黑" w:cs="Arial"/>
          <w:szCs w:val="21"/>
        </w:rPr>
        <w:t>水平控制</w:t>
      </w:r>
      <w:r>
        <w:rPr>
          <w:rFonts w:ascii="华文细黑" w:hAnsi="华文细黑" w:eastAsia="华文细黑" w:cs="Arial"/>
          <w:szCs w:val="21"/>
        </w:rPr>
        <w:t xml:space="preserve"> 4.触发控制 5.</w:t>
      </w:r>
      <w:r>
        <w:rPr>
          <w:rFonts w:hint="eastAsia" w:ascii="华文细黑" w:hAnsi="华文细黑" w:eastAsia="华文细黑" w:cs="Arial"/>
          <w:szCs w:val="21"/>
        </w:rPr>
        <w:t>分析控制</w:t>
      </w:r>
      <w:r>
        <w:rPr>
          <w:rFonts w:ascii="华文细黑" w:hAnsi="华文细黑" w:eastAsia="华文细黑" w:cs="Arial"/>
          <w:szCs w:val="21"/>
        </w:rPr>
        <w:t xml:space="preserve"> 6.</w:t>
      </w:r>
      <w:r>
        <w:rPr>
          <w:rFonts w:hint="eastAsia" w:ascii="华文细黑" w:hAnsi="华文细黑" w:eastAsia="华文细黑" w:cs="Arial"/>
          <w:szCs w:val="21"/>
        </w:rPr>
        <w:t>垂直控制</w:t>
      </w:r>
      <w:r>
        <w:rPr>
          <w:rFonts w:ascii="华文细黑" w:hAnsi="华文细黑" w:eastAsia="华文细黑" w:cs="Arial"/>
          <w:szCs w:val="21"/>
        </w:rPr>
        <w:t xml:space="preserve"> 7.导航 8.</w:t>
      </w:r>
      <w:r>
        <w:rPr>
          <w:rFonts w:hint="eastAsia" w:ascii="华文细黑" w:hAnsi="华文细黑" w:eastAsia="华文细黑" w:cs="Arial"/>
          <w:szCs w:val="21"/>
        </w:rPr>
        <w:t>电源按键</w:t>
      </w:r>
      <w:r>
        <w:rPr>
          <w:rFonts w:ascii="华文细黑" w:hAnsi="华文细黑" w:eastAsia="华文细黑" w:cs="Arial"/>
          <w:szCs w:val="21"/>
        </w:rPr>
        <w:t xml:space="preserve"> 9.USB</w:t>
      </w:r>
      <w:r>
        <w:rPr>
          <w:rFonts w:hint="eastAsia" w:ascii="华文细黑" w:hAnsi="华文细黑" w:eastAsia="华文细黑" w:cs="Arial"/>
          <w:szCs w:val="21"/>
        </w:rPr>
        <w:t>连接器和探头补偿</w:t>
      </w:r>
      <w:r>
        <w:rPr>
          <w:rFonts w:ascii="华文细黑" w:hAnsi="华文细黑" w:eastAsia="华文细黑" w:cs="Arial"/>
          <w:szCs w:val="21"/>
        </w:rPr>
        <w:t xml:space="preserve"> 10.</w:t>
      </w:r>
      <w:r>
        <w:rPr>
          <w:rFonts w:hint="eastAsia" w:ascii="华文细黑" w:hAnsi="华文细黑" w:eastAsia="华文细黑" w:cs="Arial"/>
          <w:szCs w:val="21"/>
        </w:rPr>
        <w:t>输入通道。详情可参见R&amp;S官网相关资料。</w:t>
      </w:r>
    </w:p>
    <w:p>
      <w:pPr>
        <w:rPr>
          <w:rFonts w:ascii="华文细黑" w:hAnsi="华文细黑" w:eastAsia="华文细黑" w:cs="Arial"/>
          <w:b/>
          <w:szCs w:val="21"/>
        </w:rPr>
      </w:pPr>
      <w:r>
        <w:rPr>
          <w:rFonts w:hint="eastAsia" w:ascii="华文细黑" w:hAnsi="华文细黑" w:eastAsia="华文细黑" w:cs="Arial"/>
          <w:b/>
          <w:szCs w:val="21"/>
        </w:rPr>
        <w:t>3</w:t>
      </w:r>
      <w:r>
        <w:rPr>
          <w:rFonts w:ascii="华文细黑" w:hAnsi="华文细黑" w:eastAsia="华文细黑" w:cs="Arial"/>
          <w:b/>
          <w:szCs w:val="21"/>
        </w:rPr>
        <w:t xml:space="preserve"> </w:t>
      </w:r>
      <w:r>
        <w:rPr>
          <w:rFonts w:hint="eastAsia" w:ascii="华文细黑" w:hAnsi="华文细黑" w:eastAsia="华文细黑" w:cs="Arial"/>
          <w:b/>
          <w:szCs w:val="21"/>
        </w:rPr>
        <w:t>数据连续采集与存储的实现</w:t>
      </w:r>
    </w:p>
    <w:p>
      <w:pPr>
        <w:rPr>
          <w:rFonts w:ascii="华文细黑" w:hAnsi="华文细黑" w:eastAsia="华文细黑" w:cs="Arial"/>
          <w:b/>
          <w:szCs w:val="21"/>
        </w:rPr>
      </w:pPr>
      <w:r>
        <w:rPr>
          <w:rFonts w:hint="eastAsia" w:ascii="华文细黑" w:hAnsi="华文细黑" w:eastAsia="华文细黑" w:cs="Arial"/>
          <w:b/>
          <w:szCs w:val="21"/>
        </w:rPr>
        <w:t>3.1数据存储</w:t>
      </w:r>
    </w:p>
    <w:p>
      <w:pPr>
        <w:rPr>
          <w:rFonts w:ascii="华文细黑" w:hAnsi="华文细黑" w:eastAsia="华文细黑" w:cs="Arial"/>
          <w:szCs w:val="21"/>
        </w:rPr>
      </w:pPr>
      <w:r>
        <w:rPr>
          <w:rFonts w:ascii="华文细黑" w:hAnsi="华文细黑" w:eastAsia="华文细黑" w:cs="Arial"/>
          <w:szCs w:val="21"/>
        </w:rPr>
        <w:t>R&amp;SRTO</w:t>
      </w:r>
      <w:r>
        <w:rPr>
          <w:rFonts w:hint="eastAsia" w:ascii="华文细黑" w:hAnsi="华文细黑" w:eastAsia="华文细黑" w:cs="Arial"/>
          <w:szCs w:val="21"/>
        </w:rPr>
        <w:t>数字实时示波器，具有</w:t>
      </w:r>
      <w:r>
        <w:rPr>
          <w:rFonts w:ascii="华文细黑" w:hAnsi="华文细黑" w:eastAsia="华文细黑" w:cs="Arial"/>
          <w:szCs w:val="21"/>
        </w:rPr>
        <w:t>80M</w:t>
      </w:r>
      <w:r>
        <w:rPr>
          <w:rFonts w:hint="eastAsia" w:ascii="华文细黑" w:hAnsi="华文细黑" w:eastAsia="华文细黑" w:cs="Arial"/>
          <w:szCs w:val="21"/>
        </w:rPr>
        <w:t>的存储深度，可以通过面板</w:t>
      </w:r>
      <w:r>
        <w:rPr>
          <w:rFonts w:ascii="华文细黑" w:hAnsi="华文细黑" w:eastAsia="华文细黑" w:cs="Arial"/>
          <w:szCs w:val="21"/>
        </w:rPr>
        <w:t>2</w:t>
      </w:r>
      <w:r>
        <w:rPr>
          <w:rFonts w:hint="eastAsia" w:ascii="华文细黑" w:hAnsi="华文细黑" w:eastAsia="华文细黑" w:cs="Arial"/>
          <w:szCs w:val="21"/>
        </w:rPr>
        <w:t>区域中的“FILE”按钮进行操作，“FILE”按钮点击后在子窗口中选择“波形”，设置存储路径、存储格式等相关参数后，点击导出波形，即可实现当前屏幕中波形的存储。</w:t>
      </w:r>
    </w:p>
    <w:p>
      <w:pPr>
        <w:rPr>
          <w:rFonts w:ascii="华文细黑" w:hAnsi="华文细黑" w:eastAsia="华文细黑" w:cs="Arial"/>
          <w:b/>
          <w:szCs w:val="21"/>
        </w:rPr>
      </w:pPr>
      <w:r>
        <w:rPr>
          <w:rFonts w:hint="eastAsia" w:ascii="华文细黑" w:hAnsi="华文细黑" w:eastAsia="华文细黑" w:cs="Arial"/>
          <w:b/>
          <w:szCs w:val="21"/>
        </w:rPr>
        <w:t>3.2</w:t>
      </w:r>
      <w:r>
        <w:rPr>
          <w:rFonts w:ascii="华文细黑" w:hAnsi="华文细黑" w:eastAsia="华文细黑" w:cs="Arial"/>
          <w:b/>
          <w:szCs w:val="21"/>
        </w:rPr>
        <w:t xml:space="preserve"> </w:t>
      </w:r>
      <w:r>
        <w:rPr>
          <w:rFonts w:hint="eastAsia" w:ascii="华文细黑" w:hAnsi="华文细黑" w:eastAsia="华文细黑" w:cs="Arial"/>
          <w:b/>
          <w:szCs w:val="21"/>
        </w:rPr>
        <w:t>事件触发</w:t>
      </w:r>
    </w:p>
    <w:p>
      <w:pPr>
        <w:rPr>
          <w:rFonts w:ascii="华文细黑" w:hAnsi="华文细黑" w:eastAsia="华文细黑" w:cs="Arial"/>
          <w:szCs w:val="21"/>
        </w:rPr>
      </w:pPr>
      <w:r>
        <w:rPr>
          <w:rFonts w:hint="eastAsia" w:ascii="华文细黑" w:hAnsi="华文细黑" w:eastAsia="华文细黑" w:cs="Arial"/>
          <w:szCs w:val="21"/>
        </w:rPr>
        <w:t>通过面板图的4区域“</w:t>
      </w:r>
      <w:r>
        <w:rPr>
          <w:rFonts w:ascii="华文细黑" w:hAnsi="华文细黑" w:eastAsia="华文细黑" w:cs="Arial"/>
          <w:szCs w:val="21"/>
        </w:rPr>
        <w:t>触发控制</w:t>
      </w:r>
      <w:r>
        <w:rPr>
          <w:rFonts w:hint="eastAsia" w:ascii="华文细黑" w:hAnsi="华文细黑" w:eastAsia="华文细黑" w:cs="Arial"/>
          <w:szCs w:val="21"/>
        </w:rPr>
        <w:t>”，可以选择触发类型，触发类型包括边缘触发，逻辑触发，视频触发等多种类型可供选择，本文仅介绍使用边缘触发类型连续存储脉冲信号的实现过程，其他触发类型的操作与此类似，因此不累述。</w:t>
      </w:r>
    </w:p>
    <w:p>
      <w:pPr>
        <w:rPr>
          <w:rFonts w:ascii="华文细黑" w:hAnsi="华文细黑" w:eastAsia="华文细黑" w:cs="Arial"/>
          <w:b/>
          <w:szCs w:val="21"/>
        </w:rPr>
      </w:pPr>
      <w:r>
        <w:rPr>
          <w:rFonts w:hint="eastAsia" w:ascii="华文细黑" w:hAnsi="华文细黑" w:eastAsia="华文细黑" w:cs="Arial"/>
          <w:b/>
          <w:szCs w:val="21"/>
        </w:rPr>
        <w:t>3.3</w:t>
      </w:r>
      <w:r>
        <w:rPr>
          <w:rFonts w:ascii="华文细黑" w:hAnsi="华文细黑" w:eastAsia="华文细黑" w:cs="Arial"/>
          <w:b/>
          <w:szCs w:val="21"/>
        </w:rPr>
        <w:t xml:space="preserve"> </w:t>
      </w:r>
      <w:r>
        <w:rPr>
          <w:rFonts w:hint="eastAsia" w:ascii="华文细黑" w:hAnsi="华文细黑" w:eastAsia="华文细黑" w:cs="Arial"/>
          <w:b/>
          <w:szCs w:val="21"/>
        </w:rPr>
        <w:t>连续存储的实现</w:t>
      </w:r>
    </w:p>
    <w:p>
      <w:pPr>
        <w:rPr>
          <w:rFonts w:ascii="华文细黑" w:hAnsi="华文细黑" w:eastAsia="华文细黑" w:cs="Arial"/>
          <w:szCs w:val="21"/>
        </w:rPr>
      </w:pPr>
      <w:r>
        <w:rPr>
          <w:rFonts w:ascii="华文细黑" w:hAnsi="华文细黑" w:eastAsia="华文细黑" w:cs="Arial"/>
          <w:szCs w:val="21"/>
        </w:rPr>
        <w:t>下面将以脉冲信号为例，对连续存储功能的实现进行详细介绍。</w:t>
      </w:r>
    </w:p>
    <w:p>
      <w:pPr>
        <w:rPr>
          <w:rFonts w:ascii="华文细黑" w:hAnsi="华文细黑" w:eastAsia="华文细黑" w:cs="Arial"/>
          <w:szCs w:val="21"/>
        </w:rPr>
      </w:pPr>
      <w:r>
        <w:rPr>
          <w:rFonts w:ascii="华文细黑" w:hAnsi="华文细黑" w:eastAsia="华文细黑" w:cs="Arial"/>
          <w:szCs w:val="21"/>
        </w:rPr>
        <w:t>3.3.1 特殊事件的触发存储</w:t>
      </w:r>
    </w:p>
    <w:p>
      <w:pPr>
        <w:pStyle w:val="18"/>
        <w:numPr>
          <w:ilvl w:val="0"/>
          <w:numId w:val="1"/>
        </w:numPr>
        <w:ind w:firstLineChars="0"/>
        <w:rPr>
          <w:rFonts w:ascii="华文细黑" w:hAnsi="华文细黑" w:eastAsia="华文细黑" w:cs="Arial"/>
          <w:szCs w:val="21"/>
        </w:rPr>
      </w:pPr>
      <w:r>
        <w:rPr>
          <w:rFonts w:hint="eastAsia" w:ascii="华文细黑" w:hAnsi="华文细黑" w:eastAsia="华文细黑" w:cs="Arial"/>
          <w:szCs w:val="21"/>
        </w:rPr>
        <w:t>通过面板图</w:t>
      </w:r>
      <w:r>
        <w:rPr>
          <w:rFonts w:ascii="华文细黑" w:hAnsi="华文细黑" w:eastAsia="华文细黑" w:cs="Arial"/>
          <w:szCs w:val="21"/>
        </w:rPr>
        <w:t>5</w:t>
      </w:r>
      <w:r>
        <w:rPr>
          <w:rFonts w:hint="eastAsia" w:ascii="华文细黑" w:hAnsi="华文细黑" w:eastAsia="华文细黑" w:cs="Arial"/>
          <w:szCs w:val="21"/>
        </w:rPr>
        <w:t>区域的“MASKS”按钮进入模块测试功能，这时在屏幕左上方会显示出一个标题为“Ma</w:t>
      </w:r>
      <w:r>
        <w:rPr>
          <w:rFonts w:ascii="华文细黑" w:hAnsi="华文细黑" w:eastAsia="华文细黑" w:cs="Arial"/>
          <w:szCs w:val="21"/>
        </w:rPr>
        <w:t>sk Test</w:t>
      </w:r>
      <w:r>
        <w:rPr>
          <w:rFonts w:hint="eastAsia" w:ascii="华文细黑" w:hAnsi="华文细黑" w:eastAsia="华文细黑" w:cs="Arial"/>
          <w:szCs w:val="21"/>
        </w:rPr>
        <w:t>”的子窗口，如图</w:t>
      </w:r>
      <w:r>
        <w:rPr>
          <w:rFonts w:ascii="华文细黑" w:hAnsi="华文细黑" w:eastAsia="华文细黑" w:cs="Arial"/>
          <w:szCs w:val="21"/>
        </w:rPr>
        <w:t>2左上方</w:t>
      </w:r>
      <w:r>
        <w:rPr>
          <w:rFonts w:hint="eastAsia" w:ascii="华文细黑" w:hAnsi="华文细黑" w:eastAsia="华文细黑" w:cs="Arial"/>
          <w:szCs w:val="21"/>
        </w:rPr>
        <w:t>所示；</w:t>
      </w:r>
    </w:p>
    <w:p>
      <w:pPr>
        <w:pStyle w:val="18"/>
        <w:numPr>
          <w:ilvl w:val="0"/>
          <w:numId w:val="1"/>
        </w:numPr>
        <w:ind w:firstLineChars="0"/>
        <w:rPr>
          <w:rFonts w:ascii="华文细黑" w:hAnsi="华文细黑" w:eastAsia="华文细黑" w:cs="Arial"/>
          <w:szCs w:val="21"/>
        </w:rPr>
      </w:pPr>
      <w:r>
        <w:rPr>
          <w:rFonts w:hint="eastAsia" w:ascii="华文细黑" w:hAnsi="华文细黑" w:eastAsia="华文细黑" w:cs="Arial"/>
          <w:szCs w:val="21"/>
        </w:rPr>
        <w:t>按下暂停功能按钮，用鼠标或手指在屏幕中波形覆盖范围的周围多次点击以构成封闭区域，并且封闭区域的最高点超过波形最大值，最低点低于波形最小值，如图2中蓝色区域所示；</w:t>
      </w:r>
      <w:bookmarkStart w:id="0" w:name="_GoBack"/>
      <w:bookmarkEnd w:id="0"/>
    </w:p>
    <w:p>
      <w:pPr>
        <w:jc w:val="center"/>
        <w:rPr>
          <w:rFonts w:ascii="华文细黑" w:hAnsi="华文细黑" w:eastAsia="华文细黑" w:cs="Arial"/>
          <w:szCs w:val="21"/>
        </w:rPr>
      </w:pPr>
      <w:r>
        <w:rPr>
          <w:rFonts w:ascii="Calibri" w:hAnsi="Calibri" w:cs="Calibri"/>
          <w:kern w:val="0"/>
          <w:sz w:val="22"/>
        </w:rPr>
        <w:drawing>
          <wp:inline distT="0" distB="0" distL="0" distR="0">
            <wp:extent cx="3091180" cy="1799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t="1055" r="4744"/>
                    <a:stretch>
                      <a:fillRect/>
                    </a:stretch>
                  </pic:blipFill>
                  <pic:spPr>
                    <a:xfrm>
                      <a:off x="0" y="0"/>
                      <a:ext cx="3091200" cy="1800000"/>
                    </a:xfrm>
                    <a:prstGeom prst="rect">
                      <a:avLst/>
                    </a:prstGeom>
                    <a:noFill/>
                    <a:ln>
                      <a:noFill/>
                    </a:ln>
                  </pic:spPr>
                </pic:pic>
              </a:graphicData>
            </a:graphic>
          </wp:inline>
        </w:drawing>
      </w:r>
    </w:p>
    <w:p>
      <w:pPr>
        <w:jc w:val="center"/>
        <w:rPr>
          <w:rFonts w:ascii="华文细黑" w:hAnsi="华文细黑" w:eastAsia="华文细黑" w:cs="Arial"/>
          <w:szCs w:val="21"/>
        </w:rPr>
      </w:pPr>
      <w:r>
        <w:rPr>
          <w:rFonts w:hint="eastAsia" w:ascii="华文细黑" w:hAnsi="华文细黑" w:eastAsia="华文细黑" w:cs="Arial"/>
          <w:szCs w:val="21"/>
        </w:rPr>
        <w:t>图</w:t>
      </w:r>
      <w:r>
        <w:rPr>
          <w:rFonts w:ascii="华文细黑" w:hAnsi="华文细黑" w:eastAsia="华文细黑" w:cs="Arial"/>
          <w:szCs w:val="21"/>
        </w:rPr>
        <w:t>2. MASK</w:t>
      </w:r>
      <w:r>
        <w:rPr>
          <w:rFonts w:hint="eastAsia" w:ascii="华文细黑" w:hAnsi="华文细黑" w:eastAsia="华文细黑" w:cs="Arial"/>
          <w:szCs w:val="21"/>
        </w:rPr>
        <w:t>模板设置方法</w:t>
      </w:r>
    </w:p>
    <w:p>
      <w:pPr>
        <w:pStyle w:val="18"/>
        <w:numPr>
          <w:ilvl w:val="0"/>
          <w:numId w:val="1"/>
        </w:numPr>
        <w:ind w:firstLineChars="0"/>
        <w:rPr>
          <w:rFonts w:ascii="华文细黑" w:hAnsi="华文细黑" w:eastAsia="华文细黑" w:cs="Arial"/>
          <w:szCs w:val="21"/>
        </w:rPr>
      </w:pPr>
      <w:r>
        <w:rPr>
          <w:rFonts w:hint="eastAsia" w:ascii="华文细黑" w:hAnsi="华文细黑" w:eastAsia="华文细黑" w:cs="Arial"/>
          <w:szCs w:val="21"/>
        </w:rPr>
        <w:t>点击Mask子窗口的绿色设置工具图标，在界面显现操作菜单，选择“事件动作/重置”窗口，在子菜单中的“保存波形”选项选择“侵犯模板”，如图</w:t>
      </w:r>
      <w:r>
        <w:rPr>
          <w:rFonts w:ascii="华文细黑" w:hAnsi="华文细黑" w:eastAsia="华文细黑" w:cs="Arial"/>
          <w:szCs w:val="21"/>
        </w:rPr>
        <w:t>3</w:t>
      </w:r>
      <w:r>
        <w:rPr>
          <w:rFonts w:hint="eastAsia" w:ascii="华文细黑" w:hAnsi="华文细黑" w:eastAsia="华文细黑" w:cs="Arial"/>
          <w:szCs w:val="21"/>
        </w:rPr>
        <w:t>所示；</w:t>
      </w:r>
    </w:p>
    <w:p>
      <w:pPr>
        <w:jc w:val="center"/>
        <w:rPr>
          <w:rFonts w:ascii="华文细黑" w:hAnsi="华文细黑" w:eastAsia="华文细黑" w:cs="Arial"/>
          <w:szCs w:val="21"/>
        </w:rPr>
      </w:pPr>
      <w:r>
        <w:rPr>
          <w:rFonts w:ascii="Calibri" w:hAnsi="Calibri" w:cs="Calibri"/>
          <w:kern w:val="0"/>
          <w:sz w:val="22"/>
        </w:rPr>
        <w:drawing>
          <wp:inline distT="0" distB="0" distL="0" distR="0">
            <wp:extent cx="2964815" cy="2223770"/>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834" cy="2234127"/>
                    </a:xfrm>
                    <a:prstGeom prst="rect">
                      <a:avLst/>
                    </a:prstGeom>
                    <a:noFill/>
                    <a:ln>
                      <a:noFill/>
                    </a:ln>
                  </pic:spPr>
                </pic:pic>
              </a:graphicData>
            </a:graphic>
          </wp:inline>
        </w:drawing>
      </w:r>
    </w:p>
    <w:p>
      <w:pPr>
        <w:jc w:val="center"/>
        <w:rPr>
          <w:rFonts w:ascii="华文细黑" w:hAnsi="华文细黑" w:eastAsia="华文细黑" w:cs="Arial"/>
          <w:szCs w:val="21"/>
        </w:rPr>
      </w:pPr>
      <w:r>
        <w:rPr>
          <w:rFonts w:hint="eastAsia" w:ascii="华文细黑" w:hAnsi="华文细黑" w:eastAsia="华文细黑" w:cs="Arial"/>
          <w:szCs w:val="21"/>
        </w:rPr>
        <w:t>图</w:t>
      </w:r>
      <w:r>
        <w:rPr>
          <w:rFonts w:ascii="华文细黑" w:hAnsi="华文细黑" w:eastAsia="华文细黑" w:cs="Arial"/>
          <w:szCs w:val="21"/>
        </w:rPr>
        <w:t>3. 连续存储设置方法</w:t>
      </w:r>
    </w:p>
    <w:p>
      <w:pPr>
        <w:pStyle w:val="18"/>
        <w:numPr>
          <w:ilvl w:val="0"/>
          <w:numId w:val="1"/>
        </w:numPr>
        <w:ind w:firstLineChars="0"/>
        <w:rPr>
          <w:rFonts w:ascii="华文细黑" w:hAnsi="华文细黑" w:eastAsia="华文细黑" w:cs="Arial"/>
          <w:szCs w:val="21"/>
        </w:rPr>
      </w:pPr>
      <w:r>
        <w:rPr>
          <w:rFonts w:hint="eastAsia" w:ascii="华文细黑" w:hAnsi="华文细黑" w:eastAsia="华文细黑" w:cs="Arial"/>
          <w:szCs w:val="21"/>
        </w:rPr>
        <w:t>完成以上操作后，选择左侧“测试定义”窗口，进入“保存/调用”菜单，此时点击右侧“波形/结果”菜单，如图</w:t>
      </w:r>
      <w:r>
        <w:rPr>
          <w:rFonts w:ascii="华文细黑" w:hAnsi="华文细黑" w:eastAsia="华文细黑" w:cs="Arial"/>
          <w:szCs w:val="21"/>
        </w:rPr>
        <w:t>4</w:t>
      </w:r>
      <w:r>
        <w:rPr>
          <w:rFonts w:hint="eastAsia" w:ascii="华文细黑" w:hAnsi="华文细黑" w:eastAsia="华文细黑" w:cs="Arial"/>
          <w:szCs w:val="21"/>
        </w:rPr>
        <w:t>所示</w:t>
      </w:r>
      <w:r>
        <w:rPr>
          <w:rFonts w:ascii="华文细黑" w:hAnsi="华文细黑" w:eastAsia="华文细黑" w:cs="Arial"/>
          <w:szCs w:val="21"/>
        </w:rPr>
        <w:t>，之后</w:t>
      </w:r>
      <w:r>
        <w:rPr>
          <w:rFonts w:hint="eastAsia" w:ascii="华文细黑" w:hAnsi="华文细黑" w:eastAsia="华文细黑" w:cs="Arial"/>
          <w:szCs w:val="21"/>
        </w:rPr>
        <w:t>选择你所需存储的数据类型及存储路径。设置好后，打开暂停按钮，所选中的波形就会被连续保存在相应路径里，方便使用者查看与使用。数据存储完成后，再次点击“暂停按钮”即停止采集；</w:t>
      </w:r>
    </w:p>
    <w:p>
      <w:pPr>
        <w:pStyle w:val="18"/>
        <w:ind w:left="570" w:firstLine="0" w:firstLineChars="0"/>
        <w:jc w:val="center"/>
        <w:rPr>
          <w:rFonts w:ascii="华文细黑" w:hAnsi="华文细黑" w:eastAsia="华文细黑" w:cs="Arial"/>
          <w:szCs w:val="21"/>
        </w:rPr>
      </w:pPr>
      <w:r>
        <w:rPr>
          <w:rFonts w:ascii="Calibri" w:hAnsi="Calibri" w:cs="Calibri"/>
          <w:kern w:val="0"/>
          <w:sz w:val="22"/>
        </w:rPr>
        <w:drawing>
          <wp:inline distT="0" distB="0" distL="0" distR="0">
            <wp:extent cx="3483610" cy="17335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99501" cy="1741457"/>
                    </a:xfrm>
                    <a:prstGeom prst="rect">
                      <a:avLst/>
                    </a:prstGeom>
                    <a:noFill/>
                    <a:ln>
                      <a:noFill/>
                    </a:ln>
                  </pic:spPr>
                </pic:pic>
              </a:graphicData>
            </a:graphic>
          </wp:inline>
        </w:drawing>
      </w:r>
    </w:p>
    <w:p>
      <w:pPr>
        <w:jc w:val="center"/>
        <w:rPr>
          <w:rFonts w:ascii="华文细黑" w:hAnsi="华文细黑" w:eastAsia="华文细黑" w:cs="Arial"/>
          <w:szCs w:val="21"/>
        </w:rPr>
      </w:pPr>
      <w:r>
        <w:rPr>
          <w:rFonts w:hint="eastAsia" w:ascii="华文细黑" w:hAnsi="华文细黑" w:eastAsia="华文细黑" w:cs="Arial"/>
          <w:szCs w:val="21"/>
        </w:rPr>
        <w:t>图</w:t>
      </w:r>
      <w:r>
        <w:rPr>
          <w:rFonts w:ascii="华文细黑" w:hAnsi="华文细黑" w:eastAsia="华文细黑" w:cs="Arial"/>
          <w:szCs w:val="21"/>
        </w:rPr>
        <w:t>4.</w:t>
      </w:r>
      <w:r>
        <w:rPr>
          <w:rFonts w:hint="eastAsia" w:ascii="华文细黑" w:hAnsi="华文细黑" w:eastAsia="华文细黑" w:cs="Arial"/>
          <w:szCs w:val="21"/>
        </w:rPr>
        <w:t xml:space="preserve"> 文件保存</w:t>
      </w:r>
    </w:p>
    <w:p>
      <w:pPr>
        <w:pStyle w:val="18"/>
        <w:numPr>
          <w:ilvl w:val="0"/>
          <w:numId w:val="1"/>
        </w:numPr>
        <w:ind w:firstLineChars="0"/>
        <w:rPr>
          <w:rFonts w:ascii="华文细黑" w:hAnsi="华文细黑" w:eastAsia="华文细黑" w:cs="Arial"/>
          <w:szCs w:val="21"/>
        </w:rPr>
      </w:pPr>
      <w:r>
        <w:rPr>
          <w:rFonts w:hint="eastAsia" w:ascii="华文细黑" w:hAnsi="华文细黑" w:eastAsia="华文细黑" w:cs="Arial"/>
          <w:szCs w:val="21"/>
        </w:rPr>
        <w:t>有时人们采集到的数据并不需要全部波段的存储只需要选择关键或特殊的部分就能达到测试者的目的，这时候不需要全波段的存储，只需要在b)步骤中将封闭区域的范围覆盖了所需测试的关键或特殊位置（如图5所示），其余操作和上面操作步骤相同。</w:t>
      </w:r>
    </w:p>
    <w:p>
      <w:pPr>
        <w:jc w:val="center"/>
        <w:rPr>
          <w:rFonts w:ascii="华文细黑" w:hAnsi="华文细黑" w:eastAsia="华文细黑" w:cs="Arial"/>
          <w:szCs w:val="21"/>
        </w:rPr>
      </w:pPr>
      <w:r>
        <w:rPr>
          <w:rFonts w:ascii="Calibri" w:hAnsi="Calibri" w:cs="Calibri"/>
          <w:kern w:val="0"/>
          <w:sz w:val="22"/>
        </w:rPr>
        <w:drawing>
          <wp:inline distT="0" distB="0" distL="0" distR="0">
            <wp:extent cx="2668905" cy="1547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r="14356"/>
                    <a:stretch>
                      <a:fillRect/>
                    </a:stretch>
                  </pic:blipFill>
                  <pic:spPr>
                    <a:xfrm>
                      <a:off x="0" y="0"/>
                      <a:ext cx="2670073" cy="1548000"/>
                    </a:xfrm>
                    <a:prstGeom prst="rect">
                      <a:avLst/>
                    </a:prstGeom>
                    <a:noFill/>
                    <a:ln>
                      <a:noFill/>
                    </a:ln>
                  </pic:spPr>
                </pic:pic>
              </a:graphicData>
            </a:graphic>
          </wp:inline>
        </w:drawing>
      </w:r>
      <w:r>
        <w:rPr>
          <w:rFonts w:ascii="Calibri" w:hAnsi="Calibri" w:cs="Calibri"/>
          <w:kern w:val="0"/>
          <w:sz w:val="22"/>
        </w:rPr>
        <w:t xml:space="preserve">   </w:t>
      </w:r>
      <w:r>
        <w:rPr>
          <w:rFonts w:ascii="Calibri" w:hAnsi="Calibri" w:cs="Calibri"/>
          <w:kern w:val="0"/>
          <w:sz w:val="22"/>
        </w:rPr>
        <w:drawing>
          <wp:inline distT="0" distB="0" distL="0" distR="0">
            <wp:extent cx="2552700" cy="1546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r="14040"/>
                    <a:stretch>
                      <a:fillRect/>
                    </a:stretch>
                  </pic:blipFill>
                  <pic:spPr>
                    <a:xfrm>
                      <a:off x="0" y="0"/>
                      <a:ext cx="2554755" cy="1548304"/>
                    </a:xfrm>
                    <a:prstGeom prst="rect">
                      <a:avLst/>
                    </a:prstGeom>
                    <a:noFill/>
                    <a:ln>
                      <a:noFill/>
                    </a:ln>
                  </pic:spPr>
                </pic:pic>
              </a:graphicData>
            </a:graphic>
          </wp:inline>
        </w:drawing>
      </w:r>
    </w:p>
    <w:p>
      <w:pPr>
        <w:jc w:val="center"/>
        <w:rPr>
          <w:rFonts w:ascii="华文细黑" w:hAnsi="华文细黑" w:eastAsia="华文细黑" w:cs="Arial"/>
          <w:szCs w:val="21"/>
        </w:rPr>
      </w:pPr>
      <w:r>
        <w:rPr>
          <w:rFonts w:hint="eastAsia" w:ascii="华文细黑" w:hAnsi="华文细黑" w:eastAsia="华文细黑" w:cs="Arial"/>
          <w:szCs w:val="21"/>
        </w:rPr>
        <w:t>图6 特殊波形存储时MASK的设置方式</w:t>
      </w:r>
    </w:p>
    <w:p>
      <w:pPr>
        <w:rPr>
          <w:rFonts w:ascii="华文细黑" w:hAnsi="华文细黑" w:eastAsia="华文细黑" w:cs="Arial"/>
          <w:b/>
          <w:szCs w:val="21"/>
        </w:rPr>
      </w:pPr>
      <w:r>
        <w:rPr>
          <w:rFonts w:hint="eastAsia" w:ascii="华文细黑" w:hAnsi="华文细黑" w:eastAsia="华文细黑" w:cs="Arial"/>
          <w:b/>
          <w:szCs w:val="21"/>
        </w:rPr>
        <w:t>4</w:t>
      </w:r>
      <w:r>
        <w:rPr>
          <w:rFonts w:ascii="华文细黑" w:hAnsi="华文细黑" w:eastAsia="华文细黑" w:cs="Arial"/>
          <w:b/>
          <w:szCs w:val="21"/>
        </w:rPr>
        <w:t xml:space="preserve"> R&amp;S RTO1024</w:t>
      </w:r>
      <w:r>
        <w:rPr>
          <w:rFonts w:hint="eastAsia" w:ascii="华文细黑" w:hAnsi="华文细黑" w:eastAsia="华文细黑" w:cs="Arial"/>
          <w:b/>
          <w:szCs w:val="21"/>
        </w:rPr>
        <w:t>的采集能力</w:t>
      </w:r>
    </w:p>
    <w:p>
      <w:pPr>
        <w:rPr>
          <w:rFonts w:ascii="华文细黑" w:hAnsi="华文细黑" w:eastAsia="华文细黑" w:cs="Arial"/>
          <w:szCs w:val="21"/>
        </w:rPr>
      </w:pPr>
      <w:r>
        <w:rPr>
          <w:rFonts w:hint="eastAsia" w:ascii="华文细黑" w:hAnsi="华文细黑" w:eastAsia="华文细黑" w:cs="Arial"/>
          <w:szCs w:val="21"/>
        </w:rPr>
        <w:t>使用数字示波器进行故障排查都在持续模式下进行，以检测叠加波形的偶然性偏差。某些传统的示波器使用某种特殊的采集模式以缩短盲区时间，然而，这类模式却会限制信号处理和分析功能。数字示波器可以快速地采集、分析数据，并始终具备全部功能。</w:t>
      </w:r>
    </w:p>
    <w:p>
      <w:pPr>
        <w:rPr>
          <w:rFonts w:ascii="华文细黑" w:hAnsi="华文细黑" w:eastAsia="华文细黑" w:cs="Arial"/>
          <w:b/>
          <w:szCs w:val="21"/>
        </w:rPr>
      </w:pPr>
      <w:r>
        <w:rPr>
          <w:rFonts w:hint="eastAsia" w:ascii="华文细黑" w:hAnsi="华文细黑" w:eastAsia="华文细黑" w:cs="Arial"/>
          <w:b/>
          <w:szCs w:val="21"/>
        </w:rPr>
        <w:t>5</w:t>
      </w:r>
      <w:r>
        <w:rPr>
          <w:rFonts w:ascii="华文细黑" w:hAnsi="华文细黑" w:eastAsia="华文细黑" w:cs="Arial"/>
          <w:b/>
          <w:szCs w:val="21"/>
        </w:rPr>
        <w:t xml:space="preserve"> </w:t>
      </w:r>
      <w:r>
        <w:rPr>
          <w:rFonts w:hint="eastAsia" w:ascii="华文细黑" w:hAnsi="华文细黑" w:eastAsia="华文细黑" w:cs="Arial"/>
          <w:b/>
          <w:szCs w:val="21"/>
        </w:rPr>
        <w:t>结束语</w:t>
      </w:r>
    </w:p>
    <w:p>
      <w:pPr>
        <w:rPr>
          <w:rFonts w:hint="eastAsia"/>
          <w:sz w:val="44"/>
          <w:szCs w:val="44"/>
        </w:rPr>
      </w:pPr>
      <w:r>
        <w:rPr>
          <w:rFonts w:hint="eastAsia" w:ascii="华文细黑" w:hAnsi="华文细黑" w:eastAsia="华文细黑" w:cs="Arial"/>
          <w:szCs w:val="21"/>
        </w:rPr>
        <w:t xml:space="preserve">R&amp;S公司RTO </w:t>
      </w:r>
      <w:r>
        <w:rPr>
          <w:rFonts w:ascii="华文细黑" w:hAnsi="华文细黑" w:eastAsia="华文细黑" w:cs="Arial"/>
          <w:szCs w:val="21"/>
        </w:rPr>
        <w:t>1024</w:t>
      </w:r>
      <w:r>
        <w:rPr>
          <w:rFonts w:hint="eastAsia" w:ascii="华文细黑" w:hAnsi="华文细黑" w:eastAsia="华文细黑" w:cs="Arial"/>
          <w:szCs w:val="21"/>
        </w:rPr>
        <w:t>多通道数字示波器示波器不但拥有丰富的测量和分析功能，其操作也极其简便直观。平面菜单结构和信号流程图使得切换操作极其简便，操作菜单使用透明化设计，测量图不存在任何遮挡。本文给出R&amp;S</w:t>
      </w:r>
      <w:r>
        <w:rPr>
          <w:rFonts w:ascii="华文细黑" w:hAnsi="华文细黑" w:eastAsia="华文细黑" w:cs="Arial"/>
          <w:szCs w:val="21"/>
        </w:rPr>
        <w:t xml:space="preserve"> RTO1024</w:t>
      </w:r>
      <w:r>
        <w:rPr>
          <w:rFonts w:hint="eastAsia" w:ascii="华文细黑" w:hAnsi="华文细黑" w:eastAsia="华文细黑" w:cs="Arial"/>
          <w:szCs w:val="21"/>
        </w:rPr>
        <w:t>的面板图，介绍了示波器的使用地方，及其示波器的功能叙述了在电子仪器以及复杂电路分析与测量中数据连续存储的重要性，展示了利用了R&amp;</w:t>
      </w:r>
      <w:r>
        <w:rPr>
          <w:rFonts w:ascii="华文细黑" w:hAnsi="华文细黑" w:eastAsia="华文细黑" w:cs="Arial"/>
          <w:szCs w:val="21"/>
        </w:rPr>
        <w:t xml:space="preserve">S RTO1024 </w:t>
      </w:r>
      <w:r>
        <w:rPr>
          <w:rFonts w:hint="eastAsia" w:ascii="华文细黑" w:hAnsi="华文细黑" w:eastAsia="华文细黑" w:cs="Arial"/>
          <w:szCs w:val="21"/>
        </w:rPr>
        <w:t>如何实现波形数据的连续存储的具体操作步骤，其中包含示波器存储，事件触发，连续存储的实现。</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Calibri">
    <w:panose1 w:val="020F0502020204030204"/>
    <w:charset w:val="86"/>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7106204"/>
      <w:docPartObj>
        <w:docPartGallery w:val="autotext"/>
      </w:docPartObj>
    </w:sdtPr>
    <w:sdtContent>
      <w:sdt>
        <w:sdtPr>
          <w:id w:val="1728636285"/>
          <w:docPartObj>
            <w:docPartGallery w:val="autotext"/>
          </w:docPartObj>
        </w:sdtPr>
        <w:sdtContent>
          <w:p>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w:t>
            </w:r>
            <w:r>
              <w:rPr>
                <w:b/>
                <w:bCs/>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黑体" w:hAnsi="黑体" w:eastAsia="黑体"/>
        <w:b/>
        <w:color w:val="808080" w:themeColor="text1" w:themeTint="80"/>
        <w:sz w:val="24"/>
        <w:szCs w:val="24"/>
        <w14:textFill>
          <w14:solidFill>
            <w14:schemeClr w14:val="tx1">
              <w14:lumMod w14:val="50000"/>
              <w14:lumOff w14:val="50000"/>
            </w14:schemeClr>
          </w14:solidFill>
        </w14:textFill>
      </w:rPr>
      <w:alias w:val="标题"/>
      <w:id w:val="1116400235"/>
      <w:showingPlcHdr/>
      <w15:dataBinding w:prefixMappings="xmlns:ns0='http://purl.org/dc/elements/1.1/' xmlns:ns1='http://schemas.openxmlformats.org/package/2006/metadata/core-properties' " w:xpath="/ns1:coreProperties[1]/ns0:title[1]" w:storeItemID="{6C3C8BC8-F283-45AE-878A-BAB7291924A1}"/>
      <w:text/>
    </w:sdtPr>
    <w:sdtEndPr>
      <w:rPr>
        <w:rFonts w:ascii="黑体" w:hAnsi="黑体" w:eastAsia="黑体"/>
        <w:b/>
        <w:color w:val="808080" w:themeColor="text1" w:themeTint="80"/>
        <w:sz w:val="24"/>
        <w:szCs w:val="24"/>
        <w14:textFill>
          <w14:solidFill>
            <w14:schemeClr w14:val="tx1">
              <w14:lumMod w14:val="50000"/>
              <w14:lumOff w14:val="50000"/>
            </w14:schemeClr>
          </w14:solidFill>
        </w14:textFill>
      </w:rPr>
    </w:sdtEndPr>
    <w:sdtContent>
      <w:p>
        <w:pPr>
          <w:pStyle w:val="6"/>
          <w:wordWrap w:val="0"/>
          <w:jc w:val="right"/>
          <w:rPr>
            <w:b/>
            <w:color w:val="808080" w:themeColor="text1" w:themeTint="80"/>
            <w:sz w:val="24"/>
            <w:szCs w:val="24"/>
            <w14:textFill>
              <w14:solidFill>
                <w14:schemeClr w14:val="tx1">
                  <w14:lumMod w14:val="50000"/>
                  <w14:lumOff w14:val="50000"/>
                </w14:schemeClr>
              </w14:solidFill>
            </w14:textFill>
          </w:rPr>
        </w:pPr>
        <w:r>
          <w:rPr>
            <w:rFonts w:ascii="黑体" w:hAnsi="黑体" w:eastAsia="黑体"/>
            <w:b/>
            <w:color w:val="808080" w:themeColor="text1" w:themeTint="80"/>
            <w:sz w:val="24"/>
            <w:szCs w:val="24"/>
            <w14:textFill>
              <w14:solidFill>
                <w14:schemeClr w14:val="tx1">
                  <w14:lumMod w14:val="50000"/>
                  <w14:lumOff w14:val="50000"/>
                </w14:schemeClr>
              </w14:solidFill>
            </w14:textFill>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60352"/>
    <w:multiLevelType w:val="multilevel"/>
    <w:tmpl w:val="27C60352"/>
    <w:lvl w:ilvl="0" w:tentative="0">
      <w:start w:val="1"/>
      <w:numFmt w:val="lowerLetter"/>
      <w:lvlText w:val="%1)"/>
      <w:lvlJc w:val="left"/>
      <w:pPr>
        <w:ind w:left="57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EC3"/>
    <w:rsid w:val="00020559"/>
    <w:rsid w:val="00020CAA"/>
    <w:rsid w:val="0004012D"/>
    <w:rsid w:val="000506B4"/>
    <w:rsid w:val="000644EE"/>
    <w:rsid w:val="000661D7"/>
    <w:rsid w:val="00067A7C"/>
    <w:rsid w:val="000A6B8B"/>
    <w:rsid w:val="00140435"/>
    <w:rsid w:val="00142EC9"/>
    <w:rsid w:val="00152B01"/>
    <w:rsid w:val="00173544"/>
    <w:rsid w:val="0017759F"/>
    <w:rsid w:val="00177C60"/>
    <w:rsid w:val="00184D17"/>
    <w:rsid w:val="00187808"/>
    <w:rsid w:val="001D7280"/>
    <w:rsid w:val="002034FE"/>
    <w:rsid w:val="002408F0"/>
    <w:rsid w:val="00260020"/>
    <w:rsid w:val="00273D27"/>
    <w:rsid w:val="0029591E"/>
    <w:rsid w:val="002A008B"/>
    <w:rsid w:val="002A0DCE"/>
    <w:rsid w:val="002D5FA3"/>
    <w:rsid w:val="003157AB"/>
    <w:rsid w:val="00323EC3"/>
    <w:rsid w:val="00350B51"/>
    <w:rsid w:val="00377748"/>
    <w:rsid w:val="00377E96"/>
    <w:rsid w:val="003A0482"/>
    <w:rsid w:val="003C5561"/>
    <w:rsid w:val="003D76A1"/>
    <w:rsid w:val="003E2884"/>
    <w:rsid w:val="0040180E"/>
    <w:rsid w:val="00430C93"/>
    <w:rsid w:val="00443CE4"/>
    <w:rsid w:val="00451A75"/>
    <w:rsid w:val="004B621A"/>
    <w:rsid w:val="004D442F"/>
    <w:rsid w:val="004D6AFC"/>
    <w:rsid w:val="004E1F05"/>
    <w:rsid w:val="004F2510"/>
    <w:rsid w:val="004F3C66"/>
    <w:rsid w:val="00520D2D"/>
    <w:rsid w:val="005215C0"/>
    <w:rsid w:val="00536974"/>
    <w:rsid w:val="005646BA"/>
    <w:rsid w:val="00567E6E"/>
    <w:rsid w:val="005779DB"/>
    <w:rsid w:val="00586712"/>
    <w:rsid w:val="005971A1"/>
    <w:rsid w:val="005A074A"/>
    <w:rsid w:val="005D05EF"/>
    <w:rsid w:val="006072E9"/>
    <w:rsid w:val="00636462"/>
    <w:rsid w:val="006452ED"/>
    <w:rsid w:val="0067175D"/>
    <w:rsid w:val="006819C4"/>
    <w:rsid w:val="006D19D0"/>
    <w:rsid w:val="006D4635"/>
    <w:rsid w:val="006F43B9"/>
    <w:rsid w:val="006F547D"/>
    <w:rsid w:val="006F5A66"/>
    <w:rsid w:val="0072658E"/>
    <w:rsid w:val="007321AC"/>
    <w:rsid w:val="0077128F"/>
    <w:rsid w:val="007753B3"/>
    <w:rsid w:val="007879DA"/>
    <w:rsid w:val="007E0975"/>
    <w:rsid w:val="007F1A19"/>
    <w:rsid w:val="007F2BC5"/>
    <w:rsid w:val="007F5E7E"/>
    <w:rsid w:val="008225AE"/>
    <w:rsid w:val="0082550F"/>
    <w:rsid w:val="008324E0"/>
    <w:rsid w:val="008654EB"/>
    <w:rsid w:val="00874F61"/>
    <w:rsid w:val="008B55A6"/>
    <w:rsid w:val="009073B2"/>
    <w:rsid w:val="00913DAA"/>
    <w:rsid w:val="00915662"/>
    <w:rsid w:val="00944056"/>
    <w:rsid w:val="00946C7D"/>
    <w:rsid w:val="009611CF"/>
    <w:rsid w:val="009626E3"/>
    <w:rsid w:val="0098247A"/>
    <w:rsid w:val="00984806"/>
    <w:rsid w:val="009F1EB6"/>
    <w:rsid w:val="009F4F3B"/>
    <w:rsid w:val="00A153D1"/>
    <w:rsid w:val="00A36C52"/>
    <w:rsid w:val="00A7016D"/>
    <w:rsid w:val="00A9783A"/>
    <w:rsid w:val="00B00E84"/>
    <w:rsid w:val="00B1240C"/>
    <w:rsid w:val="00B20C21"/>
    <w:rsid w:val="00B21CEE"/>
    <w:rsid w:val="00B26676"/>
    <w:rsid w:val="00B541EE"/>
    <w:rsid w:val="00B57990"/>
    <w:rsid w:val="00B7607D"/>
    <w:rsid w:val="00B93B5A"/>
    <w:rsid w:val="00BC2D4D"/>
    <w:rsid w:val="00BD49B0"/>
    <w:rsid w:val="00BD6D75"/>
    <w:rsid w:val="00BE5983"/>
    <w:rsid w:val="00C53F4B"/>
    <w:rsid w:val="00C551C2"/>
    <w:rsid w:val="00C817EE"/>
    <w:rsid w:val="00CA6CCD"/>
    <w:rsid w:val="00CE20FE"/>
    <w:rsid w:val="00D279EB"/>
    <w:rsid w:val="00D60E59"/>
    <w:rsid w:val="00D7265D"/>
    <w:rsid w:val="00DA09DC"/>
    <w:rsid w:val="00DB10F9"/>
    <w:rsid w:val="00DC3F3B"/>
    <w:rsid w:val="00E15971"/>
    <w:rsid w:val="00E175A4"/>
    <w:rsid w:val="00E27A2F"/>
    <w:rsid w:val="00E36C23"/>
    <w:rsid w:val="00E84266"/>
    <w:rsid w:val="00EA6770"/>
    <w:rsid w:val="00EB1B65"/>
    <w:rsid w:val="00EC23FF"/>
    <w:rsid w:val="00ED03C4"/>
    <w:rsid w:val="00F51A0C"/>
    <w:rsid w:val="00F60C84"/>
    <w:rsid w:val="00FB2044"/>
    <w:rsid w:val="00FC7A9B"/>
    <w:rsid w:val="00FD54F0"/>
    <w:rsid w:val="3EF817F7"/>
    <w:rsid w:val="72014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6"/>
    <w:unhideWhenUsed/>
    <w:qFormat/>
    <w:uiPriority w:val="99"/>
    <w:rPr>
      <w:b/>
      <w:bCs/>
    </w:rPr>
  </w:style>
  <w:style w:type="paragraph" w:styleId="3">
    <w:name w:val="annotation text"/>
    <w:basedOn w:val="1"/>
    <w:link w:val="15"/>
    <w:unhideWhenUsed/>
    <w:qFormat/>
    <w:uiPriority w:val="99"/>
    <w:pPr>
      <w:jc w:val="left"/>
    </w:pPr>
  </w:style>
  <w:style w:type="paragraph" w:styleId="4">
    <w:name w:val="Balloon Text"/>
    <w:basedOn w:val="1"/>
    <w:link w:val="14"/>
    <w:unhideWhenUsed/>
    <w:qFormat/>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styleId="10">
    <w:name w:val="annotation reference"/>
    <w:basedOn w:val="8"/>
    <w:unhideWhenUsed/>
    <w:qFormat/>
    <w:uiPriority w:val="99"/>
    <w:rPr>
      <w:sz w:val="21"/>
      <w:szCs w:val="21"/>
    </w:rPr>
  </w:style>
  <w:style w:type="character" w:customStyle="1" w:styleId="12">
    <w:name w:val="页眉 Char"/>
    <w:basedOn w:val="8"/>
    <w:link w:val="6"/>
    <w:qFormat/>
    <w:uiPriority w:val="99"/>
    <w:rPr>
      <w:sz w:val="18"/>
      <w:szCs w:val="18"/>
    </w:rPr>
  </w:style>
  <w:style w:type="character" w:customStyle="1" w:styleId="13">
    <w:name w:val="页脚 Char"/>
    <w:basedOn w:val="8"/>
    <w:link w:val="5"/>
    <w:qFormat/>
    <w:uiPriority w:val="99"/>
    <w:rPr>
      <w:sz w:val="18"/>
      <w:szCs w:val="18"/>
    </w:rPr>
  </w:style>
  <w:style w:type="character" w:customStyle="1" w:styleId="14">
    <w:name w:val="批注框文本 Char"/>
    <w:basedOn w:val="8"/>
    <w:link w:val="4"/>
    <w:semiHidden/>
    <w:qFormat/>
    <w:uiPriority w:val="99"/>
    <w:rPr>
      <w:sz w:val="18"/>
      <w:szCs w:val="18"/>
    </w:rPr>
  </w:style>
  <w:style w:type="character" w:customStyle="1" w:styleId="15">
    <w:name w:val="批注文字 Char"/>
    <w:basedOn w:val="8"/>
    <w:link w:val="3"/>
    <w:semiHidden/>
    <w:qFormat/>
    <w:uiPriority w:val="99"/>
  </w:style>
  <w:style w:type="character" w:customStyle="1" w:styleId="16">
    <w:name w:val="批注主题 Char"/>
    <w:basedOn w:val="15"/>
    <w:link w:val="2"/>
    <w:semiHidden/>
    <w:qFormat/>
    <w:uiPriority w:val="99"/>
    <w:rPr>
      <w:b/>
      <w:bCs/>
    </w:rPr>
  </w:style>
  <w:style w:type="paragraph" w:customStyle="1" w:styleId="17">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styleId="18">
    <w:name w:val="List Paragraph"/>
    <w:basedOn w:val="1"/>
    <w:qFormat/>
    <w:uiPriority w:val="34"/>
    <w:pPr>
      <w:ind w:firstLine="420" w:firstLineChars="200"/>
    </w:pPr>
  </w:style>
  <w:style w:type="character" w:customStyle="1" w:styleId="19">
    <w:name w:val="标题 Char"/>
    <w:basedOn w:val="8"/>
    <w:link w:val="7"/>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08D3F-60A3-4483-9AA0-FFEB45AE54A9}">
  <ds:schemaRefs/>
</ds:datastoreItem>
</file>

<file path=docProps/app.xml><?xml version="1.0" encoding="utf-8"?>
<Properties xmlns="http://schemas.openxmlformats.org/officeDocument/2006/extended-properties" xmlns:vt="http://schemas.openxmlformats.org/officeDocument/2006/docPropsVTypes">
  <Template>Normal.dotm</Template>
  <Pages>5</Pages>
  <Words>560</Words>
  <Characters>3195</Characters>
  <Lines>26</Lines>
  <Paragraphs>7</Paragraphs>
  <ScaleCrop>false</ScaleCrop>
  <LinksUpToDate>false</LinksUpToDate>
  <CharactersWithSpaces>3748</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2017-03-02T04:04:00Z</dcterms:created>
  <dc:creator>胡本护</dc:creator>
  <cp:lastModifiedBy>水木清华</cp:lastModifiedBy>
  <dcterms:modified xsi:type="dcterms:W3CDTF">2017-12-08T10:10:38Z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